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146B15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 w:hint="eastAsia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（あて先）宝塚市長</w:t>
      </w:r>
      <w:bookmarkStart w:id="0" w:name="_GoBack"/>
      <w:bookmarkEnd w:id="0"/>
    </w:p>
    <w:p w:rsidR="00146B15" w:rsidRPr="00CE116F" w:rsidRDefault="00CE116F" w:rsidP="00146B15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="00146B15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　　　　　　　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146B15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46B15"/>
    <w:rsid w:val="001950D4"/>
    <w:rsid w:val="00234E6F"/>
    <w:rsid w:val="002815C3"/>
    <w:rsid w:val="002F2744"/>
    <w:rsid w:val="00306230"/>
    <w:rsid w:val="003111E6"/>
    <w:rsid w:val="00352AEB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416606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978B-18A2-45CE-975B-26D9D3D4E0D1}">
  <ds:schemaRefs>
    <ds:schemaRef ds:uri="http://schemas.openxmlformats.org/officeDocument/2006/bibliography"/>
  </ds:schemaRefs>
</ds:datastoreItem>
</file>